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  <w:jc w:val="center"/>
      </w:pPr>
      <w:r>
        <w:rPr>
          <w:b/>
          <w:sz w:val="22"/>
        </w:rPr>
        <w:t>Allele frequency of Microsatellite Markers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t>(</w:t>
      </w:r>
      <w:r>
        <w:rPr>
          <w:rFonts w:hint="eastAsia"/>
          <w:b/>
          <w:i/>
          <w:sz w:val="22"/>
        </w:rPr>
        <w:t>1</w:t>
      </w:r>
      <w:r>
        <w:rPr>
          <w:b/>
          <w:i/>
          <w:sz w:val="22"/>
        </w:rPr>
        <w:t>) ASB2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ASB2 has simple dinucleotide repeats of ((GT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X93516)) and a total of 13 alleles were detected in ASB2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3. The frequencies were high in t</w:t>
      </w:r>
      <w:r>
        <w:rPr>
          <w:sz w:val="22"/>
        </w:rPr>
        <w:t>he order of allele N, Q and K (</w:t>
      </w:r>
      <w:r>
        <w:rPr>
          <w:sz w:val="22"/>
        </w:rPr>
        <w:t>22.09, 18.54 and 16.88, respectively), while the frequency of allele J was lowest</w:t>
      </w:r>
      <w:r w:rsidR="00B17571">
        <w:rPr>
          <w:rFonts w:hint="eastAsia"/>
          <w:sz w:val="22"/>
        </w:rPr>
        <w:t xml:space="preserve"> </w:t>
      </w:r>
      <w:r>
        <w:rPr>
          <w:sz w:val="22"/>
        </w:rPr>
        <w:t xml:space="preserve">(0.09).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  <w:jc w:val="center"/>
      </w:pPr>
      <w:r>
        <w:rPr>
          <w:noProof/>
        </w:rPr>
        <w:drawing>
          <wp:inline distT="0" distB="0" distL="0" distR="0" wp14:anchorId="39DB4E32" wp14:editId="2D5394C1">
            <wp:extent cx="4962525" cy="1809750"/>
            <wp:effectExtent l="0" t="0" r="0" b="0"/>
            <wp:docPr id="156" name="그림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0d.png"/>
                    <pic:cNvPicPr/>
                  </pic:nvPicPr>
                  <pic:blipFill>
                    <a:blip r:embed="rId6"/>
                    <a:srcRect l="755" t="2633" r="1518" b="2301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8097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  <w:rPr>
          <w:sz w:val="22"/>
        </w:rPr>
      </w:pPr>
      <w:r w:rsidRPr="001D532F">
        <w:rPr>
          <w:sz w:val="22"/>
        </w:rPr>
        <w:t xml:space="preserve">Figure </w:t>
      </w:r>
      <w:r w:rsidRPr="001D532F">
        <w:rPr>
          <w:rFonts w:hint="eastAsia"/>
          <w:sz w:val="22"/>
        </w:rPr>
        <w:t>1</w:t>
      </w:r>
      <w:r w:rsidRPr="001D532F">
        <w:rPr>
          <w:sz w:val="22"/>
        </w:rPr>
        <w:t xml:space="preserve">. Alleles and their frequencies for the Microsatellite </w:t>
      </w:r>
      <w:r w:rsidRPr="001D532F">
        <w:rPr>
          <w:i/>
          <w:sz w:val="22"/>
        </w:rPr>
        <w:t>ASB2</w:t>
      </w:r>
      <w:r w:rsidRPr="001D532F">
        <w:rPr>
          <w:sz w:val="22"/>
        </w:rPr>
        <w:t xml:space="preserve"> in </w:t>
      </w:r>
      <w:proofErr w:type="spellStart"/>
      <w:r w:rsidRPr="001D532F">
        <w:rPr>
          <w:sz w:val="22"/>
        </w:rPr>
        <w:t>Halla</w:t>
      </w:r>
      <w:proofErr w:type="spellEnd"/>
      <w:r w:rsidRPr="001D532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>
        <w:rPr>
          <w:rFonts w:hint="eastAsia"/>
          <w:b/>
          <w:i/>
          <w:sz w:val="22"/>
        </w:rPr>
        <w:t>2</w:t>
      </w:r>
      <w:r>
        <w:rPr>
          <w:b/>
          <w:i/>
          <w:sz w:val="22"/>
        </w:rPr>
        <w:t>) ASB17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ASB17 has simple dinucleotide repeats of ((AC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X93531)) and a total of 17 alleles were detected in ASB17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4. The frequencies were high in t</w:t>
      </w:r>
      <w:r>
        <w:rPr>
          <w:sz w:val="22"/>
        </w:rPr>
        <w:t>he order of allele N, R and O (</w:t>
      </w:r>
      <w:r>
        <w:rPr>
          <w:sz w:val="22"/>
        </w:rPr>
        <w:t>40.62, 15.64 and 14.14, respectively), while those of allele T, U and V were lowest</w:t>
      </w:r>
      <w:r w:rsidR="00B17571">
        <w:rPr>
          <w:rFonts w:hint="eastAsia"/>
          <w:sz w:val="22"/>
        </w:rPr>
        <w:t xml:space="preserve"> </w:t>
      </w:r>
      <w:r w:rsidR="00B17571">
        <w:rPr>
          <w:sz w:val="22"/>
        </w:rPr>
        <w:t>(</w:t>
      </w:r>
      <w:r>
        <w:rPr>
          <w:sz w:val="22"/>
        </w:rPr>
        <w:t xml:space="preserve">0.01).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7A7E799D" wp14:editId="610C8381">
            <wp:extent cx="5153025" cy="1676400"/>
            <wp:effectExtent l="0" t="0" r="0" b="0"/>
            <wp:docPr id="157" name="그림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0e.png"/>
                    <pic:cNvPicPr/>
                  </pic:nvPicPr>
                  <pic:blipFill>
                    <a:blip r:embed="rId7"/>
                    <a:srcRect l="596" t="1779" r="596" b="338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676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1D532F" w:rsidRDefault="001D532F" w:rsidP="001D532F">
      <w:pPr>
        <w:pStyle w:val="a3"/>
        <w:widowControl/>
        <w:numPr>
          <w:ilvl w:val="0"/>
          <w:numId w:val="1"/>
        </w:numPr>
        <w:pBdr>
          <w:left w:val="none" w:sz="2" w:space="2" w:color="000000"/>
        </w:pBdr>
        <w:wordWrap/>
        <w:autoSpaceDE/>
        <w:autoSpaceDN/>
        <w:snapToGrid w:val="0"/>
        <w:spacing w:after="0" w:line="312" w:lineRule="auto"/>
        <w:ind w:left="0"/>
        <w:rPr>
          <w:sz w:val="22"/>
        </w:rPr>
      </w:pPr>
      <w:r>
        <w:rPr>
          <w:sz w:val="22"/>
        </w:rPr>
        <w:t xml:space="preserve">Figure </w:t>
      </w:r>
      <w:r>
        <w:rPr>
          <w:rFonts w:hint="eastAsia"/>
          <w:sz w:val="22"/>
        </w:rPr>
        <w:t>2</w:t>
      </w:r>
      <w:r w:rsidRPr="001D532F">
        <w:rPr>
          <w:sz w:val="22"/>
        </w:rPr>
        <w:t xml:space="preserve">. Alleles and their frequencies for the Microsatellite ASB17 in </w:t>
      </w:r>
      <w:proofErr w:type="spellStart"/>
      <w:r w:rsidRPr="001D532F">
        <w:rPr>
          <w:sz w:val="22"/>
        </w:rPr>
        <w:t>Halla</w:t>
      </w:r>
      <w:proofErr w:type="spellEnd"/>
      <w:r w:rsidRPr="001D532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  <w:bookmarkStart w:id="0" w:name="_GoBack"/>
      <w:bookmarkEnd w:id="0"/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1D532F">
        <w:rPr>
          <w:b/>
          <w:i/>
          <w:sz w:val="22"/>
        </w:rPr>
        <w:lastRenderedPageBreak/>
        <w:t>(</w:t>
      </w:r>
      <w:r w:rsidRPr="001D532F">
        <w:rPr>
          <w:rFonts w:hint="eastAsia"/>
          <w:b/>
          <w:i/>
          <w:sz w:val="22"/>
        </w:rPr>
        <w:t>3</w:t>
      </w:r>
      <w:r w:rsidRPr="001D532F">
        <w:rPr>
          <w:b/>
          <w:i/>
          <w:sz w:val="22"/>
        </w:rPr>
        <w:t>) ASB23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ASB23 has simple dinucleotide repeats of ((TG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Y93537)) or compound repeats in which TT is inserted between base pairs ((TG)</w:t>
      </w:r>
      <w:proofErr w:type="spellStart"/>
      <w:r>
        <w:rPr>
          <w:sz w:val="22"/>
          <w:vertAlign w:val="subscript"/>
        </w:rPr>
        <w:t>n</w:t>
      </w:r>
      <w:r>
        <w:rPr>
          <w:sz w:val="22"/>
        </w:rPr>
        <w:t>TT</w:t>
      </w:r>
      <w:proofErr w:type="spellEnd"/>
      <w:r>
        <w:rPr>
          <w:sz w:val="22"/>
        </w:rPr>
        <w:t>(TG)</w:t>
      </w:r>
      <w:r>
        <w:rPr>
          <w:sz w:val="22"/>
          <w:vertAlign w:val="subscript"/>
        </w:rPr>
        <w:t>4</w:t>
      </w:r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NW_001799714)) and a total of 13 alleles were detected in ASB23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5. The frequencies were high in the order of allele K, J and S (26.22, 25.39 and 14.97, respectively), while low in t</w:t>
      </w:r>
      <w:r w:rsidR="00B17571">
        <w:rPr>
          <w:sz w:val="22"/>
        </w:rPr>
        <w:t>he order of allele O, H and V (</w:t>
      </w:r>
      <w:r>
        <w:rPr>
          <w:sz w:val="22"/>
        </w:rPr>
        <w:t xml:space="preserve">0.01, 0.03 and 0.05, respectively). Although the frequencies of allele M and O in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were low, they were not detected in other breeds. Therefore, allele M and O of ASB23 marker seem be the specific alleles for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can be used as useful information.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37421A22" wp14:editId="7DF15919">
            <wp:extent cx="5095875" cy="1362075"/>
            <wp:effectExtent l="0" t="0" r="0" b="0"/>
            <wp:docPr id="158" name="그림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0f.png"/>
                    <pic:cNvPicPr/>
                  </pic:nvPicPr>
                  <pic:blipFill>
                    <a:blip r:embed="rId8"/>
                    <a:srcRect l="600" t="1975" r="1670" b="1263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3620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1D532F">
        <w:rPr>
          <w:sz w:val="22"/>
        </w:rPr>
        <w:t xml:space="preserve">Figure </w:t>
      </w:r>
      <w:r w:rsidRPr="001D532F">
        <w:rPr>
          <w:rFonts w:hint="eastAsia"/>
          <w:sz w:val="22"/>
        </w:rPr>
        <w:t>3</w:t>
      </w:r>
      <w:r w:rsidRPr="001D532F">
        <w:rPr>
          <w:sz w:val="22"/>
        </w:rPr>
        <w:t xml:space="preserve">. Alleles and their frequencies for the Microsatellite </w:t>
      </w:r>
      <w:r w:rsidRPr="001D532F">
        <w:rPr>
          <w:i/>
          <w:sz w:val="22"/>
        </w:rPr>
        <w:t xml:space="preserve">ASB23 </w:t>
      </w:r>
      <w:r w:rsidRPr="001D532F">
        <w:rPr>
          <w:sz w:val="22"/>
        </w:rPr>
        <w:t xml:space="preserve">in </w:t>
      </w:r>
      <w:proofErr w:type="spellStart"/>
      <w:r w:rsidRPr="001D532F">
        <w:rPr>
          <w:sz w:val="22"/>
        </w:rPr>
        <w:t>Halla</w:t>
      </w:r>
      <w:proofErr w:type="spellEnd"/>
      <w:r w:rsidRPr="001D532F">
        <w:rPr>
          <w:sz w:val="22"/>
        </w:rPr>
        <w:t xml:space="preserve"> horses. </w:t>
      </w:r>
    </w:p>
    <w:p w:rsidR="001D532F" w:rsidRP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  <w:rPr>
          <w:rFonts w:hint="eastAsia"/>
        </w:rPr>
      </w:pPr>
    </w:p>
    <w:p w:rsidR="001D532F" w:rsidRDefault="001D53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>
        <w:rPr>
          <w:rFonts w:hint="eastAsia"/>
          <w:b/>
          <w:i/>
          <w:sz w:val="22"/>
        </w:rPr>
        <w:t>4</w:t>
      </w:r>
      <w:r>
        <w:rPr>
          <w:b/>
          <w:i/>
          <w:sz w:val="22"/>
        </w:rPr>
        <w:t>) CA425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CA425 has simple dinucleotide repeats of ((GT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U67406)) and a total of 11 alleles were detected in CA425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6. The frequency of allele N was fairly high (58.43) compared with those of other alleles.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2EF4109D" wp14:editId="642E2CAD">
            <wp:extent cx="5114925" cy="1600200"/>
            <wp:effectExtent l="0" t="0" r="0" b="0"/>
            <wp:docPr id="159" name="그림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0.png"/>
                    <pic:cNvPicPr/>
                  </pic:nvPicPr>
                  <pic:blipFill>
                    <a:blip r:embed="rId9"/>
                    <a:srcRect l="291" t="1868" r="1522" b="2259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6002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1D532F">
        <w:rPr>
          <w:sz w:val="22"/>
        </w:rPr>
        <w:t xml:space="preserve">Figure </w:t>
      </w:r>
      <w:r w:rsidRPr="001D532F">
        <w:rPr>
          <w:rFonts w:hint="eastAsia"/>
          <w:sz w:val="22"/>
        </w:rPr>
        <w:t>4</w:t>
      </w:r>
      <w:r w:rsidRPr="001D532F">
        <w:rPr>
          <w:sz w:val="22"/>
        </w:rPr>
        <w:t xml:space="preserve">. Alleles and their frequencies for the Microsatellite </w:t>
      </w:r>
      <w:r w:rsidRPr="001D532F">
        <w:rPr>
          <w:i/>
          <w:sz w:val="22"/>
        </w:rPr>
        <w:t>CA425</w:t>
      </w:r>
      <w:r w:rsidRPr="001D532F">
        <w:rPr>
          <w:sz w:val="22"/>
        </w:rPr>
        <w:t xml:space="preserve"> in </w:t>
      </w:r>
      <w:proofErr w:type="spellStart"/>
      <w:r w:rsidRPr="001D532F">
        <w:rPr>
          <w:sz w:val="22"/>
        </w:rPr>
        <w:t>Halla</w:t>
      </w:r>
      <w:proofErr w:type="spellEnd"/>
      <w:r w:rsidRPr="001D532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>
        <w:rPr>
          <w:rFonts w:hint="eastAsia"/>
          <w:b/>
          <w:i/>
          <w:sz w:val="22"/>
        </w:rPr>
        <w:t>5</w:t>
      </w:r>
      <w:r>
        <w:rPr>
          <w:b/>
          <w:i/>
          <w:sz w:val="22"/>
        </w:rPr>
        <w:t>) HMS1</w:t>
      </w:r>
    </w:p>
    <w:p w:rsidR="001D532F" w:rsidRPr="00B17571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  <w:rPr>
          <w:rFonts w:hint="eastAsia"/>
        </w:rPr>
      </w:pPr>
      <w:r>
        <w:rPr>
          <w:sz w:val="22"/>
        </w:rPr>
        <w:t xml:space="preserve"> HMS1 has simple dinucleotide repeats of ((TG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X74630)) and  a total of 11 alleles were detected in HMS1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7. The frequency of allele M was fairly high (54.63) compared with those of other alleles. </w:t>
      </w:r>
    </w:p>
    <w:p w:rsidR="00B17571" w:rsidRDefault="00B17571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5A74DA4A" wp14:editId="4FE722DF">
            <wp:extent cx="5124450" cy="1628775"/>
            <wp:effectExtent l="0" t="0" r="0" b="0"/>
            <wp:docPr id="160" name="그림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1.png"/>
                    <pic:cNvPicPr/>
                  </pic:nvPicPr>
                  <pic:blipFill>
                    <a:blip r:embed="rId10"/>
                    <a:srcRect l="141" t="3000" r="1522" b="200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6287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1D532F">
        <w:rPr>
          <w:sz w:val="22"/>
        </w:rPr>
        <w:t xml:space="preserve">Figure </w:t>
      </w:r>
      <w:r w:rsidRPr="001D532F">
        <w:rPr>
          <w:rFonts w:hint="eastAsia"/>
          <w:sz w:val="22"/>
        </w:rPr>
        <w:t>5</w:t>
      </w:r>
      <w:r w:rsidRPr="001D532F">
        <w:rPr>
          <w:sz w:val="22"/>
        </w:rPr>
        <w:t xml:space="preserve">. Alleles and their frequencies for the Microsatellite HMS1 in </w:t>
      </w:r>
      <w:proofErr w:type="spellStart"/>
      <w:r w:rsidRPr="001D532F">
        <w:rPr>
          <w:sz w:val="22"/>
        </w:rPr>
        <w:t>Halla</w:t>
      </w:r>
      <w:proofErr w:type="spellEnd"/>
      <w:r w:rsidRPr="001D532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>
        <w:rPr>
          <w:rFonts w:hint="eastAsia"/>
          <w:b/>
          <w:i/>
          <w:sz w:val="22"/>
        </w:rPr>
        <w:t>6</w:t>
      </w:r>
      <w:r>
        <w:rPr>
          <w:b/>
          <w:i/>
          <w:sz w:val="22"/>
        </w:rPr>
        <w:t>) HMS3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Dinucleotide repeats of HMS3 are (TG)</w:t>
      </w:r>
      <w:r>
        <w:rPr>
          <w:sz w:val="22"/>
          <w:vertAlign w:val="subscript"/>
        </w:rPr>
        <w:t>2</w:t>
      </w:r>
      <w:r>
        <w:rPr>
          <w:sz w:val="22"/>
        </w:rPr>
        <w:t>(CA)</w:t>
      </w:r>
      <w:r>
        <w:rPr>
          <w:sz w:val="22"/>
          <w:vertAlign w:val="subscript"/>
        </w:rPr>
        <w:t>2</w:t>
      </w:r>
      <w:r>
        <w:rPr>
          <w:sz w:val="22"/>
        </w:rPr>
        <w:t>TC(CA)</w:t>
      </w:r>
      <w:r>
        <w:rPr>
          <w:sz w:val="22"/>
          <w:vertAlign w:val="subscript"/>
        </w:rPr>
        <w:t>n</w:t>
      </w:r>
      <w:r>
        <w:rPr>
          <w:sz w:val="22"/>
        </w:rPr>
        <w:t xml:space="preserve"> and (TG)</w:t>
      </w:r>
      <w:r>
        <w:rPr>
          <w:sz w:val="22"/>
          <w:vertAlign w:val="subscript"/>
        </w:rPr>
        <w:t>2</w:t>
      </w:r>
      <w:r>
        <w:rPr>
          <w:sz w:val="22"/>
        </w:rPr>
        <w:t>(CA)</w:t>
      </w:r>
      <w:r>
        <w:rPr>
          <w:sz w:val="22"/>
          <w:vertAlign w:val="subscript"/>
        </w:rPr>
        <w:t>2</w:t>
      </w:r>
      <w:r>
        <w:rPr>
          <w:sz w:val="22"/>
        </w:rPr>
        <w:t>TC(CA)</w:t>
      </w:r>
      <w:proofErr w:type="spellStart"/>
      <w:r>
        <w:rPr>
          <w:sz w:val="22"/>
          <w:vertAlign w:val="subscript"/>
        </w:rPr>
        <w:t>n</w:t>
      </w:r>
      <w:r>
        <w:rPr>
          <w:sz w:val="22"/>
        </w:rPr>
        <w:t>GA</w:t>
      </w:r>
      <w:proofErr w:type="spellEnd"/>
      <w:r>
        <w:rPr>
          <w:sz w:val="22"/>
        </w:rPr>
        <w:t>(CA)</w:t>
      </w:r>
      <w:r>
        <w:rPr>
          <w:sz w:val="22"/>
          <w:vertAlign w:val="subscript"/>
        </w:rPr>
        <w:t xml:space="preserve">5 </w:t>
      </w:r>
      <w:r>
        <w:rPr>
          <w:sz w:val="22"/>
        </w:rPr>
        <w:t>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X74632) and a total of 11 alleles were detected in HMS3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9. The frequencies were high in the order of allele I, P and M ( 32.23, 24.56 and 15.15 respectively), while lowest in allele S( 0.08)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7131A49E" wp14:editId="188538E9">
            <wp:extent cx="5143500" cy="2209800"/>
            <wp:effectExtent l="0" t="0" r="0" b="0"/>
            <wp:docPr id="162" name="그림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3.png"/>
                    <pic:cNvPicPr/>
                  </pic:nvPicPr>
                  <pic:blipFill>
                    <a:blip r:embed="rId11"/>
                    <a:srcRect l="1000" t="883" r="596" b="215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09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Pr="00D3704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 xml:space="preserve">Figure </w:t>
      </w:r>
      <w:r w:rsidRPr="00D3704F">
        <w:rPr>
          <w:rFonts w:hint="eastAsia"/>
          <w:sz w:val="22"/>
        </w:rPr>
        <w:t>6</w:t>
      </w:r>
      <w:r w:rsidRPr="00D3704F">
        <w:rPr>
          <w:sz w:val="22"/>
        </w:rPr>
        <w:t xml:space="preserve">. Alleles and their frequencies for the Microsatellite HMS3 in </w:t>
      </w:r>
      <w:proofErr w:type="spellStart"/>
      <w:r w:rsidRPr="00D3704F">
        <w:rPr>
          <w:sz w:val="22"/>
        </w:rPr>
        <w:t>Halla</w:t>
      </w:r>
      <w:proofErr w:type="spellEnd"/>
      <w:r w:rsidRPr="00D3704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 w:rsidR="00D3704F">
        <w:rPr>
          <w:rFonts w:hint="eastAsia"/>
          <w:b/>
          <w:i/>
          <w:sz w:val="22"/>
        </w:rPr>
        <w:t>7</w:t>
      </w:r>
      <w:r>
        <w:rPr>
          <w:b/>
          <w:i/>
          <w:sz w:val="22"/>
        </w:rPr>
        <w:t>) HMS6</w:t>
      </w:r>
    </w:p>
    <w:p w:rsidR="001D532F" w:rsidRPr="00B17571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  <w:rPr>
          <w:rFonts w:hint="eastAsia"/>
        </w:rPr>
      </w:pPr>
      <w:r>
        <w:rPr>
          <w:sz w:val="22"/>
        </w:rPr>
        <w:t>HMS6 has simple dinucleotide repeats of ((GT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X74635)) and  a total of 7 alleles were detected in HMS6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10. The frequency of allele P was fairly high (39.72), while that of allele Q was lowest in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</w:t>
      </w:r>
      <w:r w:rsidR="00D3704F">
        <w:rPr>
          <w:rFonts w:hint="eastAsia"/>
          <w:sz w:val="22"/>
        </w:rPr>
        <w:t xml:space="preserve"> </w:t>
      </w:r>
      <w:r>
        <w:rPr>
          <w:sz w:val="22"/>
        </w:rPr>
        <w:t xml:space="preserve">(0.01). The frequency of allele L was low in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horses, but it was relatively high (0.21) in a proposal for standardization in forensic equine DNA typing (Van de </w:t>
      </w:r>
      <w:proofErr w:type="spellStart"/>
      <w:r>
        <w:rPr>
          <w:sz w:val="22"/>
        </w:rPr>
        <w:t>Goor</w:t>
      </w:r>
      <w:proofErr w:type="spellEnd"/>
      <w:r>
        <w:rPr>
          <w:sz w:val="22"/>
        </w:rPr>
        <w:t xml:space="preserve"> et al., 2009). Raising environment and genetic flows seem to be the reasons for that.</w:t>
      </w:r>
    </w:p>
    <w:p w:rsidR="00B17571" w:rsidRDefault="00B17571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49E511B2" wp14:editId="73E4A557">
            <wp:extent cx="5143500" cy="2047875"/>
            <wp:effectExtent l="0" t="0" r="0" b="0"/>
            <wp:docPr id="163" name="그림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4.png"/>
                    <pic:cNvPicPr/>
                  </pic:nvPicPr>
                  <pic:blipFill>
                    <a:blip r:embed="rId12"/>
                    <a:srcRect l="768" t="4193" r="976" b="326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0478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 xml:space="preserve">Figure </w:t>
      </w:r>
      <w:r w:rsidR="00D3704F" w:rsidRPr="00D3704F">
        <w:rPr>
          <w:rFonts w:hint="eastAsia"/>
          <w:sz w:val="22"/>
        </w:rPr>
        <w:t>7</w:t>
      </w:r>
      <w:r w:rsidRPr="00D3704F">
        <w:rPr>
          <w:sz w:val="22"/>
        </w:rPr>
        <w:t xml:space="preserve">. Alleles and their frequencies for the Microsatellite HMS6 in </w:t>
      </w:r>
      <w:proofErr w:type="spellStart"/>
      <w:r w:rsidRPr="00D3704F">
        <w:rPr>
          <w:sz w:val="22"/>
        </w:rPr>
        <w:t>Halla</w:t>
      </w:r>
      <w:proofErr w:type="spellEnd"/>
      <w:r w:rsidRPr="00D3704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 w:rsidR="00D3704F">
        <w:rPr>
          <w:rFonts w:hint="eastAsia"/>
          <w:b/>
          <w:i/>
          <w:sz w:val="22"/>
        </w:rPr>
        <w:t>8</w:t>
      </w:r>
      <w:r>
        <w:rPr>
          <w:b/>
          <w:i/>
          <w:sz w:val="22"/>
        </w:rPr>
        <w:t>) HMS7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HMS7 has dinucleotide repeats of (AC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2</w:t>
      </w:r>
      <w:proofErr w:type="gramEnd"/>
      <w:r>
        <w:rPr>
          <w:sz w:val="22"/>
        </w:rPr>
        <w:t>(AC)</w:t>
      </w:r>
      <w:r>
        <w:rPr>
          <w:sz w:val="22"/>
          <w:vertAlign w:val="subscript"/>
        </w:rPr>
        <w:t>n</w:t>
      </w:r>
      <w:r>
        <w:rPr>
          <w:sz w:val="22"/>
        </w:rPr>
        <w:t>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X74636) and a total of 8 alleles were detected in HMS7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11. The frequencies were high in the order of allele L</w:t>
      </w:r>
      <w:r w:rsidR="00D3704F">
        <w:rPr>
          <w:rFonts w:hint="eastAsia"/>
          <w:sz w:val="22"/>
        </w:rPr>
        <w:t xml:space="preserve"> </w:t>
      </w:r>
      <w:r>
        <w:rPr>
          <w:sz w:val="22"/>
        </w:rPr>
        <w:t xml:space="preserve">(33.52), </w:t>
      </w:r>
      <w:proofErr w:type="gramStart"/>
      <w:r>
        <w:rPr>
          <w:sz w:val="22"/>
        </w:rPr>
        <w:t>O(</w:t>
      </w:r>
      <w:proofErr w:type="gramEnd"/>
      <w:r>
        <w:rPr>
          <w:sz w:val="22"/>
        </w:rPr>
        <w:t xml:space="preserve">25.72), M(16.56) and N(15.57), while lowest in allele P ( 0.32).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25A7E5FB" wp14:editId="352E8CE6">
            <wp:extent cx="5114925" cy="2047875"/>
            <wp:effectExtent l="0" t="0" r="0" b="0"/>
            <wp:docPr id="164" name="그림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5.png"/>
                    <pic:cNvPicPr/>
                  </pic:nvPicPr>
                  <pic:blipFill>
                    <a:blip r:embed="rId13"/>
                    <a:srcRect l="291" t="1126" r="1522" b="255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0478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D3704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 xml:space="preserve">Figure </w:t>
      </w:r>
      <w:r w:rsidRPr="00D3704F">
        <w:rPr>
          <w:rFonts w:hint="eastAsia"/>
          <w:sz w:val="22"/>
        </w:rPr>
        <w:t>8</w:t>
      </w:r>
      <w:r w:rsidR="001D532F" w:rsidRPr="00D3704F">
        <w:rPr>
          <w:sz w:val="22"/>
        </w:rPr>
        <w:t xml:space="preserve">. Alleles and their frequencies for the Microsatellite HMS7 in </w:t>
      </w:r>
      <w:proofErr w:type="spellStart"/>
      <w:proofErr w:type="gramStart"/>
      <w:r w:rsidR="001D532F" w:rsidRPr="00D3704F">
        <w:rPr>
          <w:sz w:val="22"/>
        </w:rPr>
        <w:t>Halla</w:t>
      </w:r>
      <w:proofErr w:type="spellEnd"/>
      <w:r w:rsidR="001D532F" w:rsidRPr="00D3704F">
        <w:rPr>
          <w:sz w:val="22"/>
        </w:rPr>
        <w:t xml:space="preserve">  horses</w:t>
      </w:r>
      <w:proofErr w:type="gramEnd"/>
      <w:r w:rsidR="001D532F" w:rsidRPr="00D3704F">
        <w:rPr>
          <w:sz w:val="22"/>
        </w:rPr>
        <w:t xml:space="preserve">. </w:t>
      </w: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 w:rsidR="00D3704F">
        <w:rPr>
          <w:rFonts w:hint="eastAsia"/>
          <w:b/>
          <w:i/>
          <w:sz w:val="22"/>
        </w:rPr>
        <w:t>9</w:t>
      </w:r>
      <w:r>
        <w:rPr>
          <w:b/>
          <w:i/>
          <w:sz w:val="22"/>
        </w:rPr>
        <w:t>) HTG4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The repeats of HTG4 are (TG)</w:t>
      </w:r>
      <w:proofErr w:type="spellStart"/>
      <w:r>
        <w:rPr>
          <w:sz w:val="22"/>
          <w:vertAlign w:val="subscript"/>
        </w:rPr>
        <w:t>n</w:t>
      </w:r>
      <w:r>
        <w:rPr>
          <w:sz w:val="22"/>
        </w:rPr>
        <w:t>AT</w:t>
      </w:r>
      <w:proofErr w:type="spellEnd"/>
      <w:r>
        <w:rPr>
          <w:sz w:val="22"/>
        </w:rPr>
        <w:t>(AG)</w:t>
      </w:r>
      <w:r>
        <w:rPr>
          <w:sz w:val="22"/>
          <w:vertAlign w:val="subscript"/>
        </w:rPr>
        <w:t>5</w:t>
      </w:r>
      <w:r>
        <w:rPr>
          <w:sz w:val="22"/>
        </w:rPr>
        <w:t>AAG(GA)</w:t>
      </w:r>
      <w:r>
        <w:rPr>
          <w:sz w:val="22"/>
          <w:vertAlign w:val="subscript"/>
        </w:rPr>
        <w:t>5</w:t>
      </w:r>
      <w:r>
        <w:rPr>
          <w:sz w:val="22"/>
        </w:rPr>
        <w:t>ACAG(AGGG)</w:t>
      </w:r>
      <w:r>
        <w:rPr>
          <w:sz w:val="22"/>
          <w:vertAlign w:val="subscript"/>
        </w:rPr>
        <w:t>3</w:t>
      </w:r>
      <w:r>
        <w:rPr>
          <w:sz w:val="22"/>
        </w:rPr>
        <w:t>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AF169165) and a total of 8 alleles were detected in HTG4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12. The frequency of allele M was relatively high (54.79) compared with that of other breeds and the frequencies were high in the order of allele K (26.70) and L (7.82).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55E02EAB" wp14:editId="146B2B2B">
            <wp:extent cx="5133975" cy="2143125"/>
            <wp:effectExtent l="0" t="0" r="0" b="0"/>
            <wp:docPr id="165" name="그림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6.png"/>
                    <pic:cNvPicPr/>
                  </pic:nvPicPr>
                  <pic:blipFill>
                    <a:blip r:embed="rId14"/>
                    <a:srcRect l="750" t="1779" r="750" b="234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1431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D3704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 xml:space="preserve">Figure </w:t>
      </w:r>
      <w:r w:rsidRPr="00D3704F">
        <w:rPr>
          <w:rFonts w:hint="eastAsia"/>
          <w:sz w:val="22"/>
        </w:rPr>
        <w:t>9</w:t>
      </w:r>
      <w:r w:rsidR="001D532F" w:rsidRPr="00D3704F">
        <w:rPr>
          <w:sz w:val="22"/>
        </w:rPr>
        <w:t xml:space="preserve">. Alleles and their frequencies for the Microsatellite HTG4 in </w:t>
      </w:r>
      <w:proofErr w:type="spellStart"/>
      <w:r w:rsidR="001D532F" w:rsidRPr="00D3704F">
        <w:rPr>
          <w:sz w:val="22"/>
        </w:rPr>
        <w:t>Halla</w:t>
      </w:r>
      <w:proofErr w:type="spellEnd"/>
      <w:r w:rsidR="001D532F" w:rsidRPr="00D3704F">
        <w:rPr>
          <w:sz w:val="22"/>
        </w:rPr>
        <w:t xml:space="preserve"> horses. </w:t>
      </w: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</w:pPr>
      <w: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(1</w:t>
      </w:r>
      <w:r w:rsidR="00D3704F">
        <w:rPr>
          <w:rFonts w:hint="eastAsia"/>
          <w:b/>
          <w:i/>
          <w:sz w:val="22"/>
        </w:rPr>
        <w:t>0</w:t>
      </w:r>
      <w:r>
        <w:rPr>
          <w:b/>
          <w:i/>
          <w:sz w:val="22"/>
        </w:rPr>
        <w:t>) HTG6</w:t>
      </w:r>
    </w:p>
    <w:p w:rsidR="001D532F" w:rsidRPr="00B17571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  <w:rPr>
          <w:rFonts w:hint="eastAsia"/>
        </w:rPr>
      </w:pPr>
      <w:r>
        <w:rPr>
          <w:sz w:val="22"/>
        </w:rPr>
        <w:t>HTG6 has simple dinucleotide repeats of ((TG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AF169167)) and  a total of 11 alleles were detected in HTG6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13. The frequencies of alleles were high in the order of allele </w:t>
      </w:r>
      <w:proofErr w:type="gramStart"/>
      <w:r>
        <w:rPr>
          <w:sz w:val="22"/>
        </w:rPr>
        <w:t>J(</w:t>
      </w:r>
      <w:proofErr w:type="gramEnd"/>
      <w:r>
        <w:rPr>
          <w:sz w:val="22"/>
        </w:rPr>
        <w:t xml:space="preserve">36.26), O(32.26) and G(22.50) and those of others were fairly low (from 0.01 to 4.07). Frequencies of allele H and L were 0.03 and 0.01, respectively and they were detected only in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horses. </w:t>
      </w:r>
    </w:p>
    <w:p w:rsidR="00B17571" w:rsidRDefault="00B17571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6E63CA50" wp14:editId="05555A06">
            <wp:extent cx="5095875" cy="1952625"/>
            <wp:effectExtent l="0" t="0" r="0" b="0"/>
            <wp:docPr id="166" name="그림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7.png"/>
                    <pic:cNvPicPr/>
                  </pic:nvPicPr>
                  <pic:blipFill>
                    <a:blip r:embed="rId15"/>
                    <a:srcRect l="754" t="2983" r="1518" b="334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952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>Figure 1</w:t>
      </w:r>
      <w:r w:rsidR="00D3704F" w:rsidRPr="00D3704F">
        <w:rPr>
          <w:rFonts w:hint="eastAsia"/>
          <w:sz w:val="22"/>
        </w:rPr>
        <w:t>0.</w:t>
      </w:r>
      <w:r w:rsidRPr="00D3704F">
        <w:rPr>
          <w:sz w:val="22"/>
        </w:rPr>
        <w:t xml:space="preserve"> Alleles and their frequencies for the Microsatellite HTG6 in </w:t>
      </w:r>
      <w:proofErr w:type="spellStart"/>
      <w:r w:rsidRPr="00D3704F">
        <w:rPr>
          <w:sz w:val="22"/>
        </w:rPr>
        <w:t>Halla</w:t>
      </w:r>
      <w:proofErr w:type="spellEnd"/>
      <w:r w:rsidRPr="00D3704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</w:t>
      </w:r>
      <w:r w:rsidR="00D3704F">
        <w:rPr>
          <w:rFonts w:hint="eastAsia"/>
          <w:b/>
          <w:i/>
          <w:sz w:val="22"/>
        </w:rPr>
        <w:t>11</w:t>
      </w:r>
      <w:r>
        <w:rPr>
          <w:b/>
          <w:i/>
          <w:sz w:val="22"/>
        </w:rPr>
        <w:t>) HTG7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HTG7 has simple dinucleotide repeats of ((GT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AF169291)) and a total of 6 alleles were detected in HTG7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14. The frequencies of alleles were high in the order of allele O</w:t>
      </w:r>
      <w:r w:rsidR="00D3704F">
        <w:rPr>
          <w:rFonts w:hint="eastAsia"/>
          <w:sz w:val="22"/>
        </w:rPr>
        <w:t xml:space="preserve"> </w:t>
      </w:r>
      <w:r>
        <w:rPr>
          <w:sz w:val="22"/>
        </w:rPr>
        <w:t xml:space="preserve">(32.69), </w:t>
      </w:r>
      <w:proofErr w:type="gramStart"/>
      <w:r>
        <w:rPr>
          <w:sz w:val="22"/>
        </w:rPr>
        <w:t>K(</w:t>
      </w:r>
      <w:proofErr w:type="gramEnd"/>
      <w:r>
        <w:rPr>
          <w:sz w:val="22"/>
        </w:rPr>
        <w:t xml:space="preserve">25.97) and N(24.63) and lowest in allele L( 0.04). No frequency on allele L was reported in other research. Therefore, this result on the breed- specific allele can be used for the basic information for breed discrimination.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366B4E81" wp14:editId="4DAF78CA">
            <wp:extent cx="5143500" cy="1733550"/>
            <wp:effectExtent l="0" t="0" r="0" b="0"/>
            <wp:docPr id="167" name="그림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8.png"/>
                    <pic:cNvPicPr/>
                  </pic:nvPicPr>
                  <pic:blipFill>
                    <a:blip r:embed="rId16"/>
                    <a:srcRect l="448" t="610" r="920" b="31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7335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D3704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>Figure 1</w:t>
      </w:r>
      <w:r w:rsidRPr="00D3704F">
        <w:rPr>
          <w:rFonts w:hint="eastAsia"/>
          <w:sz w:val="22"/>
        </w:rPr>
        <w:t>1</w:t>
      </w:r>
      <w:r w:rsidR="001D532F" w:rsidRPr="00D3704F">
        <w:rPr>
          <w:sz w:val="22"/>
        </w:rPr>
        <w:t xml:space="preserve">. Alleles and their frequencies for the Microsatellite HTG7 in </w:t>
      </w:r>
      <w:proofErr w:type="spellStart"/>
      <w:r w:rsidR="001D532F" w:rsidRPr="00D3704F">
        <w:rPr>
          <w:sz w:val="22"/>
        </w:rPr>
        <w:t>Halla</w:t>
      </w:r>
      <w:proofErr w:type="spellEnd"/>
      <w:r w:rsidR="001D532F" w:rsidRPr="00D3704F">
        <w:rPr>
          <w:sz w:val="22"/>
        </w:rPr>
        <w:t xml:space="preserve"> horses. </w:t>
      </w: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(1</w:t>
      </w:r>
      <w:r w:rsidR="00D3704F">
        <w:rPr>
          <w:rFonts w:hint="eastAsia"/>
          <w:b/>
          <w:i/>
          <w:sz w:val="22"/>
        </w:rPr>
        <w:t>2</w:t>
      </w:r>
      <w:r>
        <w:rPr>
          <w:b/>
          <w:i/>
          <w:sz w:val="22"/>
        </w:rPr>
        <w:t xml:space="preserve">) HTG10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HTG10 has simple dinucleotide repeats of ((TG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 and compound repeats of (TATC(TG)</w:t>
      </w:r>
      <w:r>
        <w:rPr>
          <w:sz w:val="22"/>
          <w:vertAlign w:val="subscript"/>
        </w:rPr>
        <w:t>n</w:t>
      </w:r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AF169294) and  a total of 12 alleles were detected in HTG 10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15. The frequencies of alleles were high in the order of allele O</w:t>
      </w:r>
      <w:r w:rsidR="00D3704F">
        <w:rPr>
          <w:rFonts w:hint="eastAsia"/>
          <w:sz w:val="22"/>
        </w:rPr>
        <w:t xml:space="preserve"> </w:t>
      </w:r>
      <w:r>
        <w:rPr>
          <w:sz w:val="22"/>
        </w:rPr>
        <w:t xml:space="preserve">(25.50), </w:t>
      </w:r>
      <w:proofErr w:type="gramStart"/>
      <w:r>
        <w:rPr>
          <w:sz w:val="22"/>
        </w:rPr>
        <w:t>I(</w:t>
      </w:r>
      <w:proofErr w:type="gramEnd"/>
      <w:r>
        <w:rPr>
          <w:sz w:val="22"/>
        </w:rPr>
        <w:t xml:space="preserve">17.08) and  L(15.12) and low in the allele J (0.21) and T( 0.25).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5FB9B3A0" wp14:editId="722CDD95">
            <wp:extent cx="5133975" cy="2038350"/>
            <wp:effectExtent l="0" t="0" r="0" b="0"/>
            <wp:docPr id="168" name="그림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9.png"/>
                    <pic:cNvPicPr/>
                  </pic:nvPicPr>
                  <pic:blipFill>
                    <a:blip r:embed="rId17"/>
                    <a:srcRect l="600" t="3078" r="920" b="169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0383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>Figure 1</w:t>
      </w:r>
      <w:r w:rsidR="00D3704F" w:rsidRPr="00D3704F">
        <w:rPr>
          <w:rFonts w:hint="eastAsia"/>
          <w:sz w:val="22"/>
        </w:rPr>
        <w:t>2</w:t>
      </w:r>
      <w:r w:rsidRPr="00D3704F">
        <w:rPr>
          <w:sz w:val="22"/>
        </w:rPr>
        <w:t xml:space="preserve">. Alleles and their frequencies for the Microsatellite HTG10 in </w:t>
      </w:r>
      <w:proofErr w:type="spellStart"/>
      <w:r w:rsidRPr="00D3704F">
        <w:rPr>
          <w:sz w:val="22"/>
        </w:rPr>
        <w:t>Halla</w:t>
      </w:r>
      <w:proofErr w:type="spellEnd"/>
      <w:r w:rsidRPr="00D3704F">
        <w:rPr>
          <w:sz w:val="22"/>
        </w:rPr>
        <w:t xml:space="preserve"> horses.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(1</w:t>
      </w:r>
      <w:r w:rsidR="00D3704F">
        <w:rPr>
          <w:rFonts w:hint="eastAsia"/>
          <w:b/>
          <w:i/>
          <w:sz w:val="22"/>
        </w:rPr>
        <w:t>3</w:t>
      </w:r>
      <w:r>
        <w:rPr>
          <w:b/>
          <w:i/>
          <w:sz w:val="22"/>
        </w:rPr>
        <w:t xml:space="preserve">) LEX3 </w:t>
      </w:r>
    </w:p>
    <w:p w:rsidR="001D532F" w:rsidRPr="00B17571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  <w:rPr>
          <w:rFonts w:hint="eastAsia"/>
        </w:rPr>
      </w:pPr>
      <w:r>
        <w:rPr>
          <w:sz w:val="22"/>
        </w:rPr>
        <w:t>LEX3 has simple dinucleotide repeats of (TG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AF075607) and a total of 11 alleles were detected in LEX3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16. For LEX3, wide range of alleles were detected and the frequencies of alleles of G</w:t>
      </w:r>
      <w:r w:rsidR="00D3704F">
        <w:rPr>
          <w:rFonts w:hint="eastAsia"/>
          <w:sz w:val="22"/>
        </w:rPr>
        <w:t xml:space="preserve"> </w:t>
      </w:r>
      <w:r>
        <w:rPr>
          <w:sz w:val="22"/>
        </w:rPr>
        <w:t xml:space="preserve">(0.04), </w:t>
      </w:r>
      <w:proofErr w:type="gramStart"/>
      <w:r>
        <w:rPr>
          <w:sz w:val="22"/>
        </w:rPr>
        <w:t>E(</w:t>
      </w:r>
      <w:proofErr w:type="gramEnd"/>
      <w:r>
        <w:rPr>
          <w:sz w:val="22"/>
        </w:rPr>
        <w:t xml:space="preserve">0.06) and K(1.52) were low. In a proposal for standardization in forensic equine DNA typing (Van de </w:t>
      </w:r>
      <w:proofErr w:type="spellStart"/>
      <w:r>
        <w:rPr>
          <w:sz w:val="22"/>
        </w:rPr>
        <w:t>Goor</w:t>
      </w:r>
      <w:proofErr w:type="spellEnd"/>
      <w:r>
        <w:rPr>
          <w:sz w:val="22"/>
        </w:rPr>
        <w:t xml:space="preserve"> et al., 2009), allele Q was detected which was not detected in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horse, while allele E was not detected which was detected in this experiment. Therefore, allele E can be used as a useful allele for the discrimination of horse breeds.</w:t>
      </w:r>
    </w:p>
    <w:p w:rsidR="00B17571" w:rsidRDefault="00B17571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3E3DA2E0" wp14:editId="5D9E4E0E">
            <wp:extent cx="5143500" cy="1857375"/>
            <wp:effectExtent l="0" t="0" r="0" b="0"/>
            <wp:docPr id="169" name="그림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a.png"/>
                    <pic:cNvPicPr/>
                  </pic:nvPicPr>
                  <pic:blipFill>
                    <a:blip r:embed="rId18"/>
                    <a:srcRect l="600" t="2206" r="616" b="298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8573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D3704F">
        <w:rPr>
          <w:sz w:val="22"/>
        </w:rPr>
        <w:t>Figure 1</w:t>
      </w:r>
      <w:r w:rsidR="00D3704F">
        <w:rPr>
          <w:rFonts w:hint="eastAsia"/>
          <w:sz w:val="22"/>
        </w:rPr>
        <w:t>3</w:t>
      </w:r>
      <w:r w:rsidRPr="00D3704F">
        <w:rPr>
          <w:sz w:val="22"/>
        </w:rPr>
        <w:t xml:space="preserve">. Alleles and their frequencies for the Microsatellite LEX3 in </w:t>
      </w:r>
      <w:proofErr w:type="spellStart"/>
      <w:r w:rsidRPr="00D3704F">
        <w:rPr>
          <w:sz w:val="22"/>
        </w:rPr>
        <w:t>Halla</w:t>
      </w:r>
      <w:proofErr w:type="spellEnd"/>
      <w:r w:rsidRPr="00D3704F">
        <w:rPr>
          <w:sz w:val="22"/>
        </w:rPr>
        <w:t xml:space="preserve"> horses. </w:t>
      </w:r>
    </w:p>
    <w:p w:rsidR="00D3704F" w:rsidRDefault="00D3704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textAlignment w:val="auto"/>
        <w:rPr>
          <w:b/>
          <w:i/>
          <w:sz w:val="22"/>
        </w:rPr>
      </w:pPr>
      <w:r>
        <w:rPr>
          <w:b/>
          <w:i/>
          <w:sz w:val="22"/>
        </w:rPr>
        <w:br w:type="page"/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b/>
          <w:i/>
          <w:sz w:val="22"/>
        </w:rPr>
        <w:lastRenderedPageBreak/>
        <w:t>(1</w:t>
      </w:r>
      <w:r w:rsidR="00D3704F">
        <w:rPr>
          <w:rFonts w:hint="eastAsia"/>
          <w:b/>
          <w:i/>
          <w:sz w:val="22"/>
        </w:rPr>
        <w:t>4</w:t>
      </w:r>
      <w:r>
        <w:rPr>
          <w:b/>
          <w:i/>
          <w:sz w:val="22"/>
        </w:rPr>
        <w:t xml:space="preserve">) VHL20 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sz w:val="22"/>
        </w:rPr>
        <w:t>VHL20 has simple dinucleotide repeats of ((TG</w:t>
      </w:r>
      <w:proofErr w:type="gramStart"/>
      <w:r>
        <w:rPr>
          <w:sz w:val="22"/>
        </w:rPr>
        <w:t>)</w:t>
      </w:r>
      <w:r>
        <w:rPr>
          <w:sz w:val="22"/>
          <w:vertAlign w:val="subscript"/>
        </w:rPr>
        <w:t>n</w:t>
      </w:r>
      <w:proofErr w:type="gramEnd"/>
      <w:r>
        <w:rPr>
          <w:sz w:val="22"/>
        </w:rPr>
        <w:t>)(</w:t>
      </w:r>
      <w:proofErr w:type="spellStart"/>
      <w:r>
        <w:rPr>
          <w:sz w:val="22"/>
        </w:rPr>
        <w:t>Genbank</w:t>
      </w:r>
      <w:proofErr w:type="spellEnd"/>
      <w:r>
        <w:rPr>
          <w:sz w:val="22"/>
        </w:rPr>
        <w:t xml:space="preserve"> : X75970) and a total of 9 alleles were detected in VHL20 marker of </w:t>
      </w:r>
      <w:proofErr w:type="spellStart"/>
      <w:r>
        <w:rPr>
          <w:sz w:val="22"/>
        </w:rPr>
        <w:t>Halla</w:t>
      </w:r>
      <w:proofErr w:type="spellEnd"/>
      <w:r>
        <w:rPr>
          <w:sz w:val="22"/>
        </w:rPr>
        <w:t xml:space="preserve"> horses and their frequencies are shown in Figure 17. The frequencies of alleles were high in the order of allele I (29.06) and M</w:t>
      </w:r>
      <w:r w:rsidR="00B17571">
        <w:rPr>
          <w:rFonts w:hint="eastAsia"/>
          <w:sz w:val="22"/>
        </w:rPr>
        <w:t xml:space="preserve"> </w:t>
      </w:r>
      <w:r>
        <w:rPr>
          <w:sz w:val="22"/>
        </w:rPr>
        <w:t>(27.60)</w:t>
      </w:r>
      <w:r w:rsidR="00B17571">
        <w:rPr>
          <w:sz w:val="22"/>
        </w:rPr>
        <w:t xml:space="preserve"> and low in allele J, Q and O (</w:t>
      </w:r>
      <w:r>
        <w:rPr>
          <w:sz w:val="22"/>
        </w:rPr>
        <w:t>1.86, 2.59 and 3.09, respectively).</w:t>
      </w: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</w:p>
    <w:p w:rsidR="001D532F" w:rsidRDefault="001D532F" w:rsidP="001D532F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>
        <w:rPr>
          <w:noProof/>
        </w:rPr>
        <w:drawing>
          <wp:inline distT="0" distB="0" distL="0" distR="0" wp14:anchorId="1D255165" wp14:editId="3BB04F28">
            <wp:extent cx="5105400" cy="1724025"/>
            <wp:effectExtent l="0" t="0" r="0" b="0"/>
            <wp:docPr id="170" name="그림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정진관\AppData\Local\Temp\Hnc\BinData\EMB000024e0bd1b.png"/>
                    <pic:cNvPicPr/>
                  </pic:nvPicPr>
                  <pic:blipFill>
                    <a:blip r:embed="rId19"/>
                    <a:srcRect l="1054" t="1772" r="1056" b="3032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7240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D532F" w:rsidRPr="00D3704F" w:rsidRDefault="00D3704F" w:rsidP="00B17571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after="0" w:line="312" w:lineRule="auto"/>
        <w:ind w:left="0"/>
      </w:pPr>
      <w:r w:rsidRPr="00B17571">
        <w:rPr>
          <w:sz w:val="22"/>
        </w:rPr>
        <w:t>Figure 1</w:t>
      </w:r>
      <w:r w:rsidRPr="00B17571">
        <w:rPr>
          <w:rFonts w:hint="eastAsia"/>
          <w:sz w:val="22"/>
        </w:rPr>
        <w:t>4</w:t>
      </w:r>
      <w:r w:rsidR="001D532F" w:rsidRPr="00B17571">
        <w:rPr>
          <w:sz w:val="22"/>
        </w:rPr>
        <w:t xml:space="preserve">. Alleles and their frequencies for the Microsatellite VHL20 in </w:t>
      </w:r>
      <w:proofErr w:type="spellStart"/>
      <w:r w:rsidR="001D532F" w:rsidRPr="00B17571">
        <w:rPr>
          <w:sz w:val="22"/>
        </w:rPr>
        <w:t>Halla</w:t>
      </w:r>
      <w:proofErr w:type="spellEnd"/>
      <w:r w:rsidR="001D532F" w:rsidRPr="00B17571">
        <w:rPr>
          <w:sz w:val="22"/>
        </w:rPr>
        <w:t xml:space="preserve"> horses. </w:t>
      </w:r>
    </w:p>
    <w:sectPr w:rsidR="001D532F" w:rsidRPr="00D3704F">
      <w:pgSz w:w="11906" w:h="16838"/>
      <w:pgMar w:top="1701" w:right="1440" w:bottom="1440" w:left="144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730B5"/>
    <w:multiLevelType w:val="multilevel"/>
    <w:tmpl w:val="A03A719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2F"/>
    <w:rsid w:val="001D532F"/>
    <w:rsid w:val="0073169A"/>
    <w:rsid w:val="00B17571"/>
    <w:rsid w:val="00D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32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"/>
    <w:rsid w:val="001D532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Balloon Text"/>
    <w:basedOn w:val="a"/>
    <w:link w:val="Char"/>
    <w:uiPriority w:val="99"/>
    <w:semiHidden/>
    <w:unhideWhenUsed/>
    <w:rsid w:val="001D53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D532F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32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"/>
    <w:rsid w:val="001D532F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Balloon Text"/>
    <w:basedOn w:val="a"/>
    <w:link w:val="Char"/>
    <w:uiPriority w:val="99"/>
    <w:semiHidden/>
    <w:unhideWhenUsed/>
    <w:rsid w:val="001D53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D532F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1</cp:revision>
  <dcterms:created xsi:type="dcterms:W3CDTF">2016-03-10T03:17:00Z</dcterms:created>
  <dcterms:modified xsi:type="dcterms:W3CDTF">2016-03-10T03:46:00Z</dcterms:modified>
</cp:coreProperties>
</file>